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right"/>
        <w:ind w:firstLine="741" w:left="0" w:right="0"/>
      </w:pPr>
      <w:r>
        <w:rPr>
          <w:sz w:val="28"/>
          <w:szCs w:val="28"/>
        </w:rPr>
        <w:t xml:space="preserve">Заместитель руководителя Камского БВУ, </w:t>
        <w:br/>
        <w:t>начальник отдела водных ресурсов по РБ</w:t>
        <w:br/>
        <w:t>В.С. Горячев</w:t>
      </w:r>
    </w:p>
    <w:p>
      <w:pPr>
        <w:pStyle w:val="style0"/>
        <w:jc w:val="both"/>
        <w:ind w:firstLine="741" w:left="0" w:right="0"/>
      </w:pPr>
      <w:r>
        <w:rPr>
          <w:sz w:val="28"/>
          <w:i/>
          <w:b/>
          <w:szCs w:val="28"/>
        </w:rPr>
      </w:r>
    </w:p>
    <w:p>
      <w:pPr>
        <w:pStyle w:val="style0"/>
        <w:jc w:val="both"/>
        <w:ind w:firstLine="741" w:left="0" w:right="0"/>
      </w:pPr>
      <w:r>
        <w:rPr>
          <w:sz w:val="28"/>
          <w:i/>
          <w:u w:val="single"/>
          <w:b/>
          <w:szCs w:val="28"/>
        </w:rPr>
        <w:t>Слайд 1 Титульный слайд</w:t>
      </w:r>
    </w:p>
    <w:p>
      <w:pPr>
        <w:pStyle w:val="style27"/>
        <w:jc w:val="center"/>
        <w:ind w:hanging="0" w:left="283" w:right="0"/>
      </w:pPr>
      <w:r>
        <w:rPr>
          <w:b/>
          <w:szCs w:val="28"/>
        </w:rPr>
        <w:t xml:space="preserve">Доклад </w:t>
      </w:r>
    </w:p>
    <w:p>
      <w:pPr>
        <w:pStyle w:val="style0"/>
        <w:jc w:val="center"/>
      </w:pPr>
      <w:r>
        <w:rPr>
          <w:sz w:val="28"/>
          <w:b/>
          <w:szCs w:val="28"/>
        </w:rPr>
        <w:t xml:space="preserve">к  заседанию бассейнового совета </w:t>
      </w:r>
    </w:p>
    <w:p>
      <w:pPr>
        <w:pStyle w:val="style0"/>
        <w:jc w:val="center"/>
      </w:pPr>
      <w:r>
        <w:rPr>
          <w:sz w:val="28"/>
          <w:b/>
          <w:szCs w:val="28"/>
        </w:rPr>
        <w:t>Уральского бассейнового округа</w:t>
      </w:r>
    </w:p>
    <w:p>
      <w:pPr>
        <w:pStyle w:val="style0"/>
        <w:jc w:val="center"/>
      </w:pPr>
      <w:r>
        <w:rPr>
          <w:sz w:val="28"/>
          <w:b/>
          <w:szCs w:val="28"/>
        </w:rPr>
      </w:r>
    </w:p>
    <w:p>
      <w:pPr>
        <w:pStyle w:val="style0"/>
        <w:jc w:val="center"/>
      </w:pPr>
      <w:r>
        <w:rPr>
          <w:sz w:val="28"/>
          <w:b/>
          <w:szCs w:val="28"/>
          <w:lang w:val="en-US"/>
        </w:rPr>
        <w:t>I</w:t>
      </w:r>
      <w:r>
        <w:rPr>
          <w:sz w:val="28"/>
          <w:b/>
          <w:szCs w:val="28"/>
        </w:rPr>
        <w:t>. Регулирование режима работы водохранилищ</w:t>
      </w:r>
    </w:p>
    <w:p>
      <w:pPr>
        <w:pStyle w:val="style0"/>
        <w:jc w:val="both"/>
        <w:ind w:firstLine="708" w:left="0" w:right="0"/>
      </w:pPr>
      <w:r>
        <w:rPr>
          <w:sz w:val="28"/>
          <w:i/>
          <w:u w:val="single"/>
          <w:b/>
          <w:szCs w:val="28"/>
        </w:rPr>
      </w:r>
    </w:p>
    <w:p>
      <w:pPr>
        <w:pStyle w:val="style27"/>
        <w:ind w:firstLine="709" w:left="283" w:right="0"/>
      </w:pPr>
      <w:r>
        <w:rPr>
          <w:szCs w:val="28"/>
        </w:rPr>
        <w:t xml:space="preserve">Согласно плану работы </w:t>
      </w:r>
      <w:r>
        <w:rPr>
          <w:color w:val="000000"/>
          <w:szCs w:val="28"/>
        </w:rPr>
        <w:t>бассейнового совета Уральского бассейнового округа на первое полугодие 2017 г.</w:t>
      </w:r>
      <w:r>
        <w:rPr>
          <w:szCs w:val="28"/>
        </w:rPr>
        <w:t>, проведена работа по обобщению показателей использования водных ресурсов бассейна р.Урал в границах речного бассейна и водохозяйственных участков</w:t>
      </w:r>
      <w:r>
        <w:rPr>
          <w:color w:val="000000"/>
          <w:kern w:val="-6"/>
          <w:szCs w:val="28"/>
        </w:rPr>
        <w:t xml:space="preserve"> с учетом водности</w:t>
      </w:r>
      <w:r>
        <w:rPr>
          <w:szCs w:val="28"/>
        </w:rPr>
        <w:t xml:space="preserve">, по вопросу </w:t>
      </w:r>
      <w:r>
        <w:rPr>
          <w:color w:val="000000"/>
          <w:kern w:val="-6"/>
          <w:szCs w:val="28"/>
        </w:rPr>
        <w:t xml:space="preserve">регулирования режима работы крупных водохранилищ и </w:t>
      </w:r>
      <w:r>
        <w:rPr>
          <w:color w:val="000000"/>
          <w:szCs w:val="28"/>
        </w:rPr>
        <w:t xml:space="preserve">их воздействие </w:t>
        <w:br/>
        <w:t>на регулирование стока в условиях продолжающегося маловодного периода</w:t>
      </w:r>
      <w:r>
        <w:rPr>
          <w:color w:val="000000"/>
          <w:kern w:val="-6"/>
          <w:szCs w:val="28"/>
        </w:rPr>
        <w:t>.</w:t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i/>
          <w:u w:val="single"/>
          <w:b/>
          <w:shd w:fill="FFFF00"/>
          <w:szCs w:val="28"/>
        </w:rPr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i/>
          <w:u w:val="single"/>
          <w:b/>
          <w:szCs w:val="28"/>
        </w:rPr>
        <w:t>Слайд 2 Схема водосборной площади р.Урал в пределах РФ                                       с расположением водохранилищ объемом более 10 млн.куб.м</w:t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szCs w:val="28"/>
        </w:rPr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szCs w:val="28"/>
        </w:rPr>
        <w:t>На данном слайде представлена гидрографическая сетьводосборной площади р.Урал в пределах РФ с расположением водохранилищ объемом более 10 млн.куб.м.</w:t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i/>
          <w:u w:val="single"/>
          <w:b/>
          <w:shd w:fill="FFFF00"/>
          <w:szCs w:val="28"/>
        </w:rPr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i/>
          <w:u w:val="single"/>
          <w:b/>
          <w:szCs w:val="28"/>
        </w:rPr>
        <w:t>Слайд 3. Согласно анализу</w:t>
      </w:r>
      <w:r>
        <w:rPr>
          <w:color w:val="000000"/>
          <w:sz w:val="28"/>
          <w:i/>
          <w:u w:val="single"/>
          <w:b/>
          <w:szCs w:val="28"/>
          <w:bCs/>
          <w:rFonts w:eastAsia="+mj-ea"/>
        </w:rPr>
        <w:t>р</w:t>
      </w:r>
      <w:r>
        <w:rPr>
          <w:color w:val="000000"/>
          <w:sz w:val="28"/>
          <w:kern w:val="-6"/>
          <w:i/>
          <w:u w:val="single"/>
          <w:b/>
          <w:szCs w:val="28"/>
          <w:bCs/>
        </w:rPr>
        <w:t>аспределения речного стока по субъектам РФ и по сезонам года</w:t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szCs w:val="28"/>
          <w:bCs/>
        </w:rPr>
        <w:tab/>
      </w:r>
    </w:p>
    <w:p>
      <w:pPr>
        <w:pStyle w:val="style0"/>
        <w:jc w:val="both"/>
        <w:ind w:firstLine="741" w:left="0" w:right="0"/>
      </w:pPr>
      <w:r>
        <w:rPr>
          <w:color w:val="000000"/>
          <w:sz w:val="28"/>
          <w:kern w:val="-6"/>
          <w:szCs w:val="28"/>
          <w:bCs/>
        </w:rPr>
        <w:t>На весенний сток в Республике Башкортостан приходится - 82 %, Челябинскую область - 94 %, Оренбургскую область - 87 %, а в целом по РФ - 87,4 %, однако на меженный сток приходится всего лишь 12,6 %. Низкая водность в р.Урал в течении большей части года не в состоянии обеспечить потребности водопользования населения и объектов экономики без перераспределения годового стока в течении года за счет накопления весенними водами и регулирования в течении года в меженный период прудами и водохранилищами Уральского региона.</w:t>
      </w:r>
    </w:p>
    <w:p>
      <w:pPr>
        <w:pStyle w:val="style0"/>
        <w:jc w:val="both"/>
        <w:ind w:firstLine="709" w:left="0" w:right="0"/>
      </w:pPr>
      <w:r>
        <w:rPr>
          <w:color w:val="000000"/>
          <w:sz w:val="28"/>
          <w:kern w:val="-6"/>
          <w:i/>
          <w:u w:val="single"/>
          <w:b/>
          <w:szCs w:val="28"/>
        </w:rPr>
      </w:r>
    </w:p>
    <w:p>
      <w:pPr>
        <w:pStyle w:val="style0"/>
        <w:jc w:val="both"/>
        <w:ind w:firstLine="709" w:left="0" w:right="0"/>
      </w:pPr>
      <w:r>
        <w:rPr>
          <w:color w:val="000000"/>
          <w:sz w:val="28"/>
          <w:kern w:val="-6"/>
          <w:i/>
          <w:u w:val="single"/>
          <w:b/>
          <w:szCs w:val="28"/>
        </w:rPr>
        <w:t xml:space="preserve">Слайд 4 </w:t>
      </w:r>
      <w:r>
        <w:rPr>
          <w:color w:val="000000"/>
          <w:sz w:val="28"/>
          <w:kern w:val="-6"/>
          <w:i/>
          <w:u w:val="single"/>
          <w:b/>
          <w:szCs w:val="28"/>
          <w:bCs/>
        </w:rPr>
        <w:t>Регулирование режимов работы крупных водохранилищ объемом более 1 млн. м</w:t>
      </w:r>
      <w:r>
        <w:rPr>
          <w:color w:val="000000"/>
          <w:sz w:val="28"/>
          <w:kern w:val="-6"/>
          <w:i/>
          <w:u w:val="single"/>
          <w:b/>
          <w:szCs w:val="28"/>
          <w:bCs/>
        </w:rPr>
        <w:t>3</w:t>
      </w:r>
      <w:r>
        <w:rPr>
          <w:color w:val="000000"/>
          <w:sz w:val="28"/>
          <w:kern w:val="-6"/>
          <w:i/>
          <w:u w:val="single"/>
          <w:b/>
          <w:szCs w:val="28"/>
          <w:bCs/>
        </w:rPr>
        <w:t xml:space="preserve"> на территории бассейна р.Урал в РФ</w:t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  <w:t>На территории Республика Башкортостан, Оренбургской и Челябинской областей на реках бассейна р.Урал расположено 304 водохранилища и пруда объемом более 100 тыс.м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В том числе 136 водохранилищ объемом </w:t>
        <w:br/>
        <w:t>более 1 млн. м</w:t>
      </w:r>
      <w:r>
        <w:rPr>
          <w:sz w:val="28"/>
          <w:szCs w:val="28"/>
        </w:rPr>
        <w:t>3</w:t>
      </w:r>
      <w:r>
        <w:rPr>
          <w:sz w:val="28"/>
          <w:szCs w:val="28"/>
        </w:rPr>
        <w:t>:</w:t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  <w:t>- Оренбургская область – 79 водохранилищ суммарным объемом воды 3 647 млн. м</w:t>
      </w:r>
      <w:r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  <w:t xml:space="preserve">- Челябинская область – 28 водохранилищ суммарным объемом воды </w:t>
        <w:br/>
        <w:t>644 млн. м</w:t>
      </w:r>
      <w:r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  <w:t>- Республика Башкортостан – 29 водохранилищ суммарным объемом воды 211 млн. м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>
      <w:pPr>
        <w:pStyle w:val="style0"/>
        <w:jc w:val="both"/>
        <w:ind w:firstLine="741" w:left="0" w:right="0"/>
      </w:pPr>
      <w:r>
        <w:rPr>
          <w:sz w:val="28"/>
          <w:szCs w:val="28"/>
        </w:rPr>
        <w:t>Зарегулированность водохранилищами рек бассейна р.Урал</w:t>
        <w:br/>
        <w:t xml:space="preserve">от суммарного местного стока составляет в Оренбургской области – 37%, </w:t>
        <w:br/>
        <w:t>в Челябинской области – 52%, и самое минимальное значение в Республике Башкортостан – 6,2%. Таким образом 93,4% от всего стока рек бассейна р.Урал протекающих на территории Республики Башкортостан беспрепятственно поступает в нижнее течение и далее в р.Урал.</w:t>
      </w:r>
    </w:p>
    <w:p>
      <w:pPr>
        <w:pStyle w:val="style0"/>
        <w:jc w:val="both"/>
        <w:ind w:firstLine="709" w:left="0" w:right="0"/>
      </w:pPr>
      <w:r>
        <w:rPr>
          <w:sz w:val="28"/>
          <w:szCs w:val="28"/>
        </w:rPr>
        <w:t>Благодаря согласованной работе по регулированию прудами и водохранилищами и сброса вод водопользователями, меженный сток реки</w:t>
        <w:br/>
        <w:t>к границе с Казахстаном увеличился в текущем году в 3 и более раз.</w:t>
      </w:r>
    </w:p>
    <w:p>
      <w:pPr>
        <w:pStyle w:val="style0"/>
        <w:jc w:val="both"/>
        <w:ind w:firstLine="708" w:left="0" w:right="0"/>
        <w:shd w:fill="FFFFFF"/>
      </w:pPr>
      <w:r>
        <w:rPr>
          <w:sz w:val="28"/>
          <w:szCs w:val="28"/>
        </w:rPr>
        <w:t>Секцией №4 проведен анализ использования водных ресурсов водохранилищ объемом более 10 млн.м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в бассейне р.Урал на территории 3-х субъектов Российской Федерации, согласно полученной информации от ОВР субъектов.</w:t>
      </w:r>
    </w:p>
    <w:p>
      <w:pPr>
        <w:pStyle w:val="style0"/>
        <w:jc w:val="both"/>
        <w:ind w:firstLine="741" w:left="0" w:right="0"/>
      </w:pPr>
      <w:r>
        <w:rPr>
          <w:sz w:val="28"/>
          <w:shd w:fill="FFFF00"/>
          <w:szCs w:val="28"/>
        </w:rPr>
      </w:r>
    </w:p>
    <w:p>
      <w:pPr>
        <w:pStyle w:val="style0"/>
        <w:jc w:val="both"/>
        <w:ind w:firstLine="709" w:left="0" w:right="0"/>
        <w:shd w:fill="FFFFFF"/>
      </w:pPr>
      <w:r>
        <w:rPr>
          <w:sz w:val="28"/>
          <w:i/>
          <w:u w:val="single"/>
          <w:b/>
          <w:szCs w:val="28"/>
          <w:iCs/>
          <w:bCs/>
        </w:rPr>
        <w:t>Слайд 5 Сведения о наполнении водохранилищ емкостью более 10 млн.м</w:t>
      </w:r>
      <w:r>
        <w:rPr>
          <w:sz w:val="28"/>
          <w:i/>
          <w:u w:val="single"/>
          <w:b/>
          <w:szCs w:val="28"/>
          <w:iCs/>
          <w:bCs/>
        </w:rPr>
        <w:t>3</w:t>
      </w:r>
      <w:r>
        <w:rPr>
          <w:sz w:val="28"/>
          <w:i/>
          <w:u w:val="single"/>
          <w:b/>
          <w:szCs w:val="28"/>
          <w:iCs/>
          <w:bCs/>
        </w:rPr>
        <w:t xml:space="preserve"> по бассейну р.Урал на территории РБ по состоянию на 26.09.2017 г</w:t>
      </w:r>
    </w:p>
    <w:p>
      <w:pPr>
        <w:pStyle w:val="style0"/>
        <w:jc w:val="both"/>
        <w:ind w:firstLine="708" w:left="0" w:right="0"/>
      </w:pPr>
      <w:r>
        <w:rPr>
          <w:sz w:val="16"/>
          <w:szCs w:val="16"/>
        </w:rPr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Анализ использования водных ресурсов водохранилищ объемом более 10 млн.м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в бассейне реки Урал на территории Республики Башкортостан показывает, что они имеют в основной массе многолетний вид регулирования, используются для питьевого водоснабжения, орошения, регулирования стока, рекреации.</w:t>
      </w:r>
    </w:p>
    <w:p>
      <w:pPr>
        <w:pStyle w:val="style0"/>
        <w:jc w:val="both"/>
        <w:ind w:firstLine="708" w:left="0" w:right="0"/>
      </w:pPr>
      <w:r>
        <w:rPr>
          <w:color w:val="000000"/>
          <w:sz w:val="28"/>
          <w:b/>
          <w:szCs w:val="28"/>
        </w:rPr>
        <w:t>По состоянию на 26сентября 2017 года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Уровень верхнего бьефа Акъярского водохранилища составляет 324,25 м, объем 30,9</w:t>
      </w:r>
      <w:r>
        <w:rPr>
          <w:color w:val="000000"/>
          <w:sz w:val="27"/>
          <w:szCs w:val="27"/>
        </w:rPr>
        <w:t>, приток и составляет 0,2 м3/сек,сброс – 3, м3/сек 9 свободная ёмкость 37,45% (18,5 млн.м3)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Уровень верхнего бьефа Таналыкского водохранилища составляет 357,0 м, объем 9,0</w:t>
      </w:r>
      <w:r>
        <w:rPr>
          <w:color w:val="000000"/>
          <w:sz w:val="27"/>
          <w:szCs w:val="27"/>
        </w:rPr>
        <w:t xml:space="preserve"> млн.м3, приток и сброс составляет 0,1 м3/сек, свободная ёмкость 36,62 %.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Уровень верхнего бьефа Б.Бузавлыкскоговодохранилища составляет  395,95 м, объем 11,24</w:t>
      </w:r>
      <w:r>
        <w:rPr>
          <w:color w:val="000000"/>
          <w:sz w:val="27"/>
          <w:szCs w:val="27"/>
        </w:rPr>
        <w:t xml:space="preserve"> млн.м3, приток и сброс составляет 0,02 м3/сек, свободная ёмкость 6,33%.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Уровень верхнего бьефа Юшатырского водохранилища составляет 168,09 м, объем 14,25</w:t>
      </w:r>
      <w:r>
        <w:rPr>
          <w:color w:val="000000"/>
          <w:sz w:val="27"/>
          <w:szCs w:val="27"/>
        </w:rPr>
        <w:t xml:space="preserve"> млн.м3, приток составляет 3,34 м3/сек, сброс - 4,5м3/сек свободная ёмкость 55,47 %.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Уровень верхнего бьефа Сакмарского водохранилища составляет 449,00 м, объем 12,25</w:t>
      </w:r>
      <w:r>
        <w:rPr>
          <w:color w:val="000000"/>
          <w:sz w:val="27"/>
          <w:szCs w:val="27"/>
        </w:rPr>
        <w:t xml:space="preserve"> млн.м3, приток 2,0 м3/сек, сброс составляет 2,0 м3/сек, свободная ёмкость 53 %.</w:t>
      </w:r>
    </w:p>
    <w:p>
      <w:pPr>
        <w:pStyle w:val="style0"/>
        <w:jc w:val="both"/>
        <w:ind w:firstLine="708" w:left="0" w:right="0"/>
      </w:pPr>
      <w:r>
        <w:rPr>
          <w:color w:val="000000"/>
          <w:sz w:val="27"/>
          <w:szCs w:val="27"/>
        </w:rPr>
        <w:t xml:space="preserve">Названные водохранилища эксплуатируются </w:t>
      </w:r>
      <w:r>
        <w:rPr>
          <w:sz w:val="28"/>
          <w:szCs w:val="28"/>
        </w:rPr>
        <w:t>в оперативном управлении ГКУ РБ «Управление по эксплуатации ГТС»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Так же имеется Чебаркульское водохранилище в оперативном управлении ФГУ Управление «Башмелиоводхоз».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 xml:space="preserve">Уровень верхнего бьефа Чебаркульского водохранилища составляет            382,20 м, объем 25,08 </w:t>
      </w:r>
      <w:r>
        <w:rPr>
          <w:color w:val="000000"/>
          <w:sz w:val="27"/>
          <w:szCs w:val="27"/>
        </w:rPr>
        <w:t>млн.м3, приток 2 м3/сек, сброс составляет 5,5 м3/сек, свободная ёмкость 26,6 %.</w:t>
      </w:r>
    </w:p>
    <w:p>
      <w:pPr>
        <w:pStyle w:val="style0"/>
        <w:jc w:val="both"/>
        <w:ind w:firstLine="708" w:left="0" w:right="0"/>
      </w:pPr>
      <w:r>
        <w:rPr>
          <w:color w:val="000000"/>
          <w:sz w:val="27"/>
          <w:szCs w:val="27"/>
        </w:rPr>
        <w:t xml:space="preserve">Все водохранилища работают согласно согласованным графикам работы на осенний период. </w:t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hd w:fill="FFFF00"/>
          <w:szCs w:val="28"/>
          <w:iCs/>
          <w:bCs/>
        </w:rPr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hd w:fill="FFFF00"/>
          <w:szCs w:val="28"/>
          <w:iCs/>
          <w:bCs/>
        </w:rPr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hd w:fill="FFFF00"/>
          <w:szCs w:val="28"/>
          <w:iCs/>
          <w:bCs/>
        </w:rPr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hd w:fill="FFFF00"/>
          <w:szCs w:val="28"/>
          <w:iCs/>
          <w:bCs/>
        </w:rPr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hd w:fill="FFFF00"/>
          <w:szCs w:val="28"/>
          <w:iCs/>
          <w:bCs/>
        </w:rPr>
      </w:r>
    </w:p>
    <w:p>
      <w:pPr>
        <w:pStyle w:val="style0"/>
        <w:jc w:val="both"/>
        <w:ind w:firstLine="710" w:left="0" w:right="0"/>
      </w:pPr>
      <w:r>
        <w:rPr>
          <w:sz w:val="28"/>
          <w:i/>
          <w:u w:val="single"/>
          <w:b/>
          <w:szCs w:val="28"/>
          <w:iCs/>
          <w:bCs/>
        </w:rPr>
        <w:t>Слайд 6 Объем сработки водохранилищ более 10 млн.куб.м по бассеинур.Урал на территории Республики Башкортостан</w:t>
      </w:r>
    </w:p>
    <w:p>
      <w:pPr>
        <w:pStyle w:val="style0"/>
        <w:jc w:val="both"/>
        <w:ind w:firstLine="710" w:left="0" w:right="0"/>
      </w:pPr>
      <w:r>
        <w:rPr>
          <w:sz w:val="28"/>
          <w:szCs w:val="28"/>
          <w:iCs/>
          <w:bCs/>
        </w:rPr>
        <w:t>Из представленного анализа по водохранилищам можно сделать вывод, что сработка водохранилищ была связана с организацией попусков в нижний бъеф в засушливый летний период текущего года, в результате водохранилища была сработаны от 50 до 80% своей ёмкости.</w:t>
      </w:r>
    </w:p>
    <w:p>
      <w:pPr>
        <w:pStyle w:val="style0"/>
        <w:jc w:val="both"/>
        <w:ind w:firstLine="709" w:left="0" w:right="0"/>
        <w:shd w:fill="FFFFFF"/>
      </w:pPr>
      <w:r>
        <w:rPr>
          <w:sz w:val="28"/>
          <w:i/>
          <w:u w:val="single"/>
          <w:b/>
          <w:shd w:fill="FFFF00"/>
          <w:szCs w:val="28"/>
        </w:rPr>
      </w:r>
    </w:p>
    <w:p>
      <w:pPr>
        <w:pStyle w:val="style0"/>
        <w:jc w:val="both"/>
        <w:ind w:firstLine="709" w:left="0" w:right="0"/>
        <w:shd w:fill="FFFFFF"/>
      </w:pPr>
      <w:r>
        <w:rPr>
          <w:sz w:val="28"/>
          <w:i/>
          <w:u w:val="single"/>
          <w:b/>
          <w:szCs w:val="28"/>
        </w:rPr>
        <w:t xml:space="preserve">Слайд 7 Основные характеристики и использование водных ресурсов ГТС водохранилищ объемом  </w:t>
      </w:r>
      <w:r>
        <w:rPr>
          <w:color w:val="000000"/>
          <w:i/>
          <w:u w:val="single"/>
          <w:b/>
          <w:szCs w:val="28"/>
        </w:rPr>
        <w:t>более 10,0 млн. м</w:t>
      </w:r>
      <w:r>
        <w:rPr>
          <w:color w:val="000000"/>
          <w:i/>
          <w:u w:val="single"/>
          <w:b/>
          <w:szCs w:val="28"/>
        </w:rPr>
        <w:t>3</w:t>
      </w:r>
      <w:r>
        <w:rPr>
          <w:color w:val="000000"/>
          <w:i/>
          <w:u w:val="single"/>
          <w:b/>
          <w:szCs w:val="28"/>
        </w:rPr>
        <w:t>в бассейне р. Урал на территории Челябинской области</w:t>
      </w:r>
    </w:p>
    <w:p>
      <w:pPr>
        <w:pStyle w:val="style23"/>
        <w:ind w:firstLine="720" w:left="20" w:right="20"/>
        <w:spacing w:line="322" w:lineRule="exact"/>
      </w:pPr>
      <w:r>
        <w:rPr/>
      </w:r>
    </w:p>
    <w:p>
      <w:pPr>
        <w:pStyle w:val="style23"/>
        <w:ind w:firstLine="720" w:left="20" w:right="20"/>
        <w:spacing w:line="322" w:lineRule="exact"/>
      </w:pPr>
      <w:r>
        <w:rPr>
          <w:color w:val="000000"/>
          <w:szCs w:val="28"/>
        </w:rPr>
        <w:t>В бассейне р. Урал на территории Челябинской области эксплуатируются три водохранилища объемом более 10,0 млн. 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>:</w:t>
      </w:r>
    </w:p>
    <w:p>
      <w:pPr>
        <w:pStyle w:val="style23"/>
        <w:numPr>
          <w:ilvl w:val="0"/>
          <w:numId w:val="1"/>
        </w:numPr>
        <w:widowControl/>
        <w:tabs>
          <w:tab w:leader="none" w:pos="1028" w:val="left"/>
        </w:tabs>
        <w:ind w:firstLine="709" w:left="0" w:right="20"/>
        <w:spacing w:line="322" w:lineRule="exact"/>
      </w:pPr>
      <w:r>
        <w:rPr>
          <w:color w:val="000000"/>
          <w:szCs w:val="28"/>
        </w:rPr>
        <w:t>Верхнеуральское водохранилище на р. Урал объемом 601,0 млн.м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многолетнего регулирования, для промышленного водоснабжения;</w:t>
      </w:r>
    </w:p>
    <w:p>
      <w:pPr>
        <w:pStyle w:val="style23"/>
        <w:numPr>
          <w:ilvl w:val="0"/>
          <w:numId w:val="1"/>
        </w:numPr>
        <w:widowControl/>
        <w:tabs>
          <w:tab w:leader="none" w:pos="1033" w:val="left"/>
        </w:tabs>
        <w:ind w:firstLine="709" w:left="0" w:right="20"/>
        <w:spacing w:line="326" w:lineRule="exact"/>
      </w:pPr>
      <w:r>
        <w:rPr>
          <w:color w:val="000000"/>
          <w:szCs w:val="28"/>
        </w:rPr>
        <w:t>Магнитогорское водохранилище на р. Урал объемом 174,0 млн.м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суточного регулирования для промышленного водоснабжения;</w:t>
      </w:r>
    </w:p>
    <w:p>
      <w:pPr>
        <w:pStyle w:val="style23"/>
        <w:numPr>
          <w:ilvl w:val="0"/>
          <w:numId w:val="1"/>
        </w:numPr>
        <w:widowControl/>
        <w:tabs>
          <w:tab w:leader="none" w:pos="1052" w:val="left"/>
        </w:tabs>
        <w:ind w:firstLine="709" w:left="0" w:right="20"/>
        <w:spacing w:line="312" w:lineRule="exact"/>
      </w:pPr>
      <w:r>
        <w:rPr>
          <w:color w:val="000000"/>
          <w:szCs w:val="28"/>
        </w:rPr>
        <w:t>Пруд «Хрустальный» на р. Темир-Зингейка объемом 15,72 млн.м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многолетнего регулирования для промышленного водоснабжения и рыборазведения.</w:t>
      </w:r>
    </w:p>
    <w:p>
      <w:pPr>
        <w:pStyle w:val="style23"/>
        <w:ind w:firstLine="709" w:left="0" w:right="23"/>
      </w:pPr>
      <w:bookmarkStart w:id="0" w:name="_GoBack"/>
      <w:bookmarkEnd w:id="0"/>
      <w:r>
        <w:rPr>
          <w:color w:val="000000"/>
          <w:szCs w:val="28"/>
        </w:rPr>
        <w:t>Основными положениями действующих правил использования водных ресурсов Верхнеуральского и Магнитогорского водохранилищ в период межени предусмотрен санитарный попуск в нижний бьеф расходом 0,5 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/с, в пруду «Хрустальный» сток пропускается транзитом. </w:t>
      </w:r>
    </w:p>
    <w:p>
      <w:pPr>
        <w:pStyle w:val="style23"/>
        <w:ind w:firstLine="709" w:left="0" w:right="23"/>
      </w:pPr>
      <w:r>
        <w:rPr>
          <w:color w:val="000000"/>
          <w:szCs w:val="28"/>
        </w:rPr>
        <w:t>Верхнеуральское и Магнитогорское водохранилища работают в каскаде, они построены для обеспечения водой Магнитогорского промузла, а также вода из Верхнеуральского водохранилища используется для обводнения поймы р. Малый Кизил при понижении уровня воды в скважинах Верхне-Кизильского и Мало-Кизильского месторождений подземных вод, используемых для питьевого водоснабжения населения г. Магнитогорск. Средний сброс Верхнеуральского водохранилища в нижний бьеф составляет 1-5 м</w:t>
      </w:r>
      <w:r>
        <w:rPr>
          <w:color w:val="000000"/>
          <w:szCs w:val="28"/>
        </w:rPr>
        <w:t>3</w:t>
      </w:r>
      <w:r>
        <w:rPr>
          <w:color w:val="000000"/>
          <w:szCs w:val="28"/>
        </w:rPr>
        <w:t>/с.</w:t>
      </w:r>
    </w:p>
    <w:p>
      <w:pPr>
        <w:pStyle w:val="style23"/>
        <w:ind w:firstLine="709" w:left="0" w:right="23"/>
      </w:pPr>
      <w:r>
        <w:rPr>
          <w:color w:val="000000"/>
          <w:shd w:fill="FFFF00"/>
          <w:szCs w:val="28"/>
        </w:rPr>
      </w:r>
    </w:p>
    <w:p>
      <w:pPr>
        <w:pStyle w:val="style0"/>
        <w:jc w:val="both"/>
        <w:ind w:firstLine="709" w:left="0" w:right="0"/>
        <w:shd w:fill="FFFFFF"/>
      </w:pPr>
      <w:r>
        <w:rPr>
          <w:sz w:val="28"/>
          <w:i/>
          <w:u w:val="single"/>
          <w:b/>
          <w:szCs w:val="28"/>
        </w:rPr>
        <w:t xml:space="preserve">Слайд 8 Основные характеристики и использование водных ресурсов ГТС водохранилищ объемом  </w:t>
      </w:r>
      <w:r>
        <w:rPr>
          <w:color w:val="000000"/>
          <w:i/>
          <w:u w:val="single"/>
          <w:b/>
          <w:szCs w:val="28"/>
        </w:rPr>
        <w:t>более 10,0 млн. м</w:t>
      </w:r>
      <w:r>
        <w:rPr>
          <w:color w:val="000000"/>
          <w:i/>
          <w:u w:val="single"/>
          <w:b/>
          <w:szCs w:val="28"/>
        </w:rPr>
        <w:t>3</w:t>
      </w:r>
      <w:r>
        <w:rPr>
          <w:color w:val="000000"/>
          <w:i/>
          <w:u w:val="single"/>
          <w:b/>
          <w:szCs w:val="28"/>
        </w:rPr>
        <w:t>в бассейне р. Урал на территории Оренбургской области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Анализ использования водных ресурсов водохранилищ объемом более 10 млн.м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в бассейне реки Урал на территории Оренбургской области показывает, что они имеют в основной массе многолетний вид регулирования, используются для питьевого водоснабжения, орошения, регулирования стока, рекреации.</w:t>
      </w:r>
    </w:p>
    <w:p>
      <w:pPr>
        <w:pStyle w:val="style0"/>
        <w:jc w:val="both"/>
        <w:ind w:firstLine="708" w:left="0" w:right="0"/>
      </w:pPr>
      <w:r>
        <w:rPr>
          <w:sz w:val="28"/>
          <w:szCs w:val="28"/>
        </w:rPr>
        <w:t>В перечень водохранилищ соответствующих этим критериям входят Ириклинское, Черновское, Красночабанское, Верхне-Кумское и Ушкотинское водохранилища. (Параметры водохранилищ представлены в слайде №8)</w:t>
      </w:r>
    </w:p>
    <w:p>
      <w:pPr>
        <w:pStyle w:val="style27"/>
      </w:pPr>
      <w:r>
        <w:rPr>
          <w:kern w:val="-4"/>
          <w:szCs w:val="28"/>
        </w:rPr>
        <w:t>Черновское и Верхне-Кумакское водохранилища работают в режиме, согласованном с отделом водных ресурсов, с осуществлением санитарных попусков в пределах летней межени.</w:t>
      </w:r>
    </w:p>
    <w:p>
      <w:pPr>
        <w:pStyle w:val="style27"/>
      </w:pPr>
      <w:r>
        <w:rPr>
          <w:kern w:val="-4"/>
          <w:szCs w:val="28"/>
        </w:rPr>
        <w:t>Красночабанское и Ушкотинское водохранилища работают в режиме фильтрационных расходов по причине низких притоков в летне-осеннюю межень и использования водохранилищ для водоснабжения в качестве подпитки инфильтрационных водозаборов.</w:t>
      </w:r>
    </w:p>
    <w:p>
      <w:pPr>
        <w:pStyle w:val="style27"/>
        <w:ind w:hanging="0" w:left="283" w:right="0"/>
      </w:pPr>
      <w:r>
        <w:rPr>
          <w:szCs w:val="28"/>
        </w:rPr>
        <w:tab/>
      </w:r>
    </w:p>
    <w:p>
      <w:pPr>
        <w:pStyle w:val="style27"/>
        <w:ind w:hanging="0" w:left="283" w:right="0"/>
      </w:pPr>
      <w:r>
        <w:rPr>
          <w:shd w:fill="FFFF00"/>
          <w:szCs w:val="28"/>
        </w:rPr>
      </w:r>
    </w:p>
    <w:p>
      <w:pPr>
        <w:pStyle w:val="style0"/>
        <w:jc w:val="center"/>
      </w:pPr>
      <w:r>
        <w:rPr>
          <w:sz w:val="28"/>
          <w:b/>
          <w:szCs w:val="28"/>
          <w:lang w:val="en-US"/>
        </w:rPr>
        <w:t>II</w:t>
      </w:r>
      <w:r>
        <w:rPr>
          <w:sz w:val="28"/>
          <w:b/>
          <w:szCs w:val="28"/>
        </w:rPr>
        <w:t xml:space="preserve"> Лимиты и квоты</w:t>
      </w:r>
    </w:p>
    <w:p>
      <w:pPr>
        <w:pStyle w:val="style23"/>
        <w:ind w:firstLine="708" w:left="0" w:right="0"/>
      </w:pPr>
      <w:r>
        <w:rPr>
          <w:szCs w:val="28"/>
        </w:rPr>
      </w:r>
    </w:p>
    <w:p>
      <w:pPr>
        <w:pStyle w:val="style23"/>
        <w:ind w:firstLine="708" w:left="0" w:right="0"/>
      </w:pPr>
      <w:r>
        <w:rPr>
          <w:szCs w:val="28"/>
        </w:rPr>
        <w:t>В 2015 году была проведена корректировка СКИОВО бассейна р. Урал, в результате которой были решены проблемные вопросы, связанные с квотами и лимитами.</w:t>
      </w:r>
    </w:p>
    <w:p>
      <w:pPr>
        <w:pStyle w:val="style23"/>
        <w:ind w:firstLine="708" w:left="0" w:right="0"/>
      </w:pPr>
      <w:r>
        <w:rPr>
          <w:color w:val="000000"/>
          <w:szCs w:val="28"/>
        </w:rPr>
        <w:t>В 2016 году по данным субъектов Уральского бассейнового округу по бассейну р.Урал в пределах Российской Федерации нет превышения лимитов и квот забора воды  из водного объекта и сброса сточных вод, установленных в откорректированном в 2015 году СКИОВО бассейна реки Урал.</w:t>
      </w:r>
    </w:p>
    <w:p>
      <w:pPr>
        <w:pStyle w:val="style23"/>
        <w:ind w:firstLine="708" w:left="0" w:right="0"/>
      </w:pPr>
      <w:r>
        <w:rPr>
          <w:szCs w:val="28"/>
        </w:rPr>
        <w:t>И еще один вопрос, который требует внимания бассейнового совета.</w:t>
      </w:r>
    </w:p>
    <w:p>
      <w:pPr>
        <w:pStyle w:val="style23"/>
        <w:ind w:firstLine="708" w:left="0" w:right="0"/>
      </w:pPr>
      <w:r>
        <w:rPr>
          <w:szCs w:val="28"/>
        </w:rPr>
        <w:t>Учитывая новый Регламент рассмотрения бюджетных проектировок и требование о наличии,  вносимых на рассмотрение объектов в СКИОВО, считаем одно заседание бассейнового совета посвятить данному вопросу.</w:t>
      </w:r>
    </w:p>
    <w:p>
      <w:pPr>
        <w:pStyle w:val="style23"/>
        <w:ind w:firstLine="708" w:left="0" w:right="0"/>
      </w:pPr>
      <w:r>
        <w:rPr>
          <w:szCs w:val="28"/>
        </w:rPr>
        <w:t xml:space="preserve">Все мы знаем, что когда шла подготовка и разработка СКИОВО была совсем другая экономическая ситуация. В СКИОВО были внесены мероприятия, которые, учитывая экономическую ситуацию в субъектах, не будут реализованы в ближайшие, может быть десять и более лет (это строительство водохранилищ и еще более масштабные проекты). </w:t>
      </w:r>
    </w:p>
    <w:p>
      <w:pPr>
        <w:pStyle w:val="style23"/>
        <w:ind w:firstLine="708" w:left="0" w:right="0"/>
      </w:pPr>
      <w:r>
        <w:rPr>
          <w:szCs w:val="28"/>
        </w:rPr>
        <w:t xml:space="preserve">Кроме того, изменилась ситуация по состоянию берегов и водных объектов, да и многое другое. </w:t>
      </w:r>
    </w:p>
    <w:p>
      <w:pPr>
        <w:pStyle w:val="style23"/>
        <w:ind w:firstLine="708" w:left="0" w:right="0"/>
      </w:pPr>
      <w:r>
        <w:rPr>
          <w:i/>
          <w:szCs w:val="28"/>
        </w:rPr>
        <w:t xml:space="preserve">Для этого, разослать в субъекты информационные  письма о глубокой проработке  рекомендуемых к корректировке мероприятий и внести его на обсуждение на бассейновый совет. </w:t>
      </w:r>
    </w:p>
    <w:p>
      <w:pPr>
        <w:pStyle w:val="style23"/>
        <w:ind w:firstLine="708" w:left="0" w:right="0"/>
      </w:pPr>
      <w:r>
        <w:rPr>
          <w:i/>
          <w:u w:val="single"/>
          <w:b/>
          <w:szCs w:val="28"/>
        </w:rPr>
      </w:r>
    </w:p>
    <w:p>
      <w:pPr>
        <w:pStyle w:val="style23"/>
        <w:ind w:firstLine="708" w:left="0" w:right="0"/>
      </w:pPr>
      <w:r>
        <w:rPr>
          <w:i/>
          <w:u w:val="single"/>
          <w:b/>
          <w:shd w:fill="FFFF00"/>
          <w:szCs w:val="28"/>
        </w:rPr>
      </w:r>
    </w:p>
    <w:p>
      <w:pPr>
        <w:pStyle w:val="style23"/>
        <w:ind w:firstLine="708" w:left="0" w:right="0"/>
      </w:pPr>
      <w:r>
        <w:rPr>
          <w:i/>
          <w:u w:val="single"/>
          <w:b/>
          <w:shd w:fill="FFFF00"/>
          <w:szCs w:val="28"/>
        </w:rPr>
        <w:t>Слайд 11 Спасибо за внимание !</w:t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259" w:left="1418" w:right="567" w:top="567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360" w:left="720"/>
      </w:pPr>
      <w:rPr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1">
      <w:start w:val="1"/>
      <w:numFmt w:val="bullet"/>
      <w:lvlJc w:val="left"/>
      <w:lvlText w:val="-"/>
      <w:pPr>
        <w:ind w:hanging="360" w:left="108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2">
      <w:start w:val="1"/>
      <w:numFmt w:val="bullet"/>
      <w:lvlJc w:val="left"/>
      <w:lvlText w:val="-"/>
      <w:pPr>
        <w:ind w:hanging="360" w:left="144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3">
      <w:start w:val="1"/>
      <w:numFmt w:val="bullet"/>
      <w:lvlJc w:val="left"/>
      <w:lvlText w:val="-"/>
      <w:pPr>
        <w:ind w:hanging="360" w:left="180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4">
      <w:start w:val="1"/>
      <w:numFmt w:val="bullet"/>
      <w:lvlJc w:val="left"/>
      <w:lvlText w:val="-"/>
      <w:pPr>
        <w:ind w:hanging="360" w:left="216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5">
      <w:start w:val="1"/>
      <w:numFmt w:val="bullet"/>
      <w:lvlJc w:val="left"/>
      <w:lvlText w:val="-"/>
      <w:pPr>
        <w:ind w:hanging="360" w:left="252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6">
      <w:start w:val="1"/>
      <w:numFmt w:val="bullet"/>
      <w:lvlJc w:val="left"/>
      <w:lvlText w:val="-"/>
      <w:pPr>
        <w:ind w:hanging="360" w:left="288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7">
      <w:start w:val="1"/>
      <w:numFmt w:val="bullet"/>
      <w:lvlJc w:val="left"/>
      <w:lvlText w:val="-"/>
      <w:pPr>
        <w:ind w:hanging="360" w:left="324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  <w:lvl w:ilvl="8">
      <w:start w:val="1"/>
      <w:numFmt w:val="bullet"/>
      <w:lvlJc w:val="left"/>
      <w:lvlText w:val="-"/>
      <w:pPr>
        <w:ind w:hanging="360" w:left="3600"/>
      </w:pPr>
      <w:rPr>
        <w:rFonts w:ascii="Times New Roman" w:cs="Times New Roman" w:hAnsi="Times New Roman" w:hint="default"/>
        <w:smallCaps/>
        <w:color w:val="000000"/>
        <w:strike/>
        <w:sz w:val="26"/>
        <w:kern w:val="0"/>
        <w:i/>
        <w:u w:val="none"/>
        <w:b/>
        <w:szCs w:val="26"/>
        <w:iCs/>
        <w:bCs/>
        <w:w w:val="100"/>
      </w:rPr>
    </w:lvl>
  </w:abstractNum>
  <w:abstractNum w:abstractNumId="2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0" w:before="0" w:line="100" w:lineRule="atLeast"/>
    </w:pPr>
    <w:rPr>
      <w:color w:val="auto"/>
      <w:sz w:val="24"/>
      <w:szCs w:val="24"/>
      <w:rFonts w:ascii="Times New Roman" w:cs="Times New Roman" w:eastAsia="Times New Roman" w:hAnsi="Times New Roman"/>
      <w:lang w:bidi="ar-SA" w:eastAsia="ru-RU" w:val="ru-RU"/>
    </w:rPr>
  </w:style>
  <w:style w:styleId="style15" w:type="character">
    <w:name w:val="ListLabel 1"/>
    <w:next w:val="style15"/>
    <w:rPr>
      <w:smallCaps/>
      <w:color w:val="000000"/>
      <w:strike/>
      <w:sz w:val="26"/>
      <w:kern w:val="0"/>
      <w:i/>
      <w:u w:val="none"/>
      <w:b/>
      <w:szCs w:val="26"/>
      <w:iCs/>
      <w:bCs/>
      <w:w w:val="100"/>
      <w:rFonts w:cs="Times New Roman" w:eastAsia="Times New Roman"/>
    </w:rPr>
  </w:style>
  <w:style w:styleId="style16" w:type="character">
    <w:name w:val="ListLabel 2"/>
    <w:next w:val="style16"/>
    <w:rPr>
      <w:smallCaps/>
      <w:color w:val="000000"/>
      <w:strike/>
      <w:sz w:val="26"/>
      <w:kern w:val="0"/>
      <w:i/>
      <w:u w:val="none"/>
      <w:b/>
      <w:szCs w:val="26"/>
      <w:iCs/>
      <w:bCs/>
      <w:w w:val="100"/>
      <w:rFonts w:cs="Times New Roman"/>
    </w:rPr>
  </w:style>
  <w:style w:styleId="style17" w:type="character">
    <w:name w:val="Default Paragraph Font"/>
    <w:next w:val="style17"/>
    <w:rPr/>
  </w:style>
  <w:style w:styleId="style18" w:type="character">
    <w:name w:val="Основной текст Знак"/>
    <w:basedOn w:val="style17"/>
    <w:next w:val="style18"/>
    <w:rPr/>
  </w:style>
  <w:style w:styleId="style19" w:type="character">
    <w:name w:val="Основной текст с отступом Знак"/>
    <w:basedOn w:val="style17"/>
    <w:next w:val="style19"/>
    <w:rPr/>
  </w:style>
  <w:style w:styleId="style20" w:type="character">
    <w:name w:val="Нижний колонтитул Знак"/>
    <w:basedOn w:val="style17"/>
    <w:next w:val="style20"/>
    <w:rPr/>
  </w:style>
  <w:style w:styleId="style21" w:type="character">
    <w:name w:val="page number"/>
    <w:basedOn w:val="style17"/>
    <w:next w:val="style21"/>
    <w:rPr/>
  </w:style>
  <w:style w:styleId="style22" w:type="paragraph">
    <w:name w:val="Заголовок"/>
    <w:basedOn w:val="style0"/>
    <w:next w:val="style23"/>
    <w:pPr>
      <w:keepNext/>
      <w:spacing w:after="120" w:before="240"/>
    </w:pPr>
    <w:rPr>
      <w:sz w:val="28"/>
      <w:szCs w:val="28"/>
      <w:rFonts w:ascii="Arial" w:cs="Tahoma" w:eastAsia="MS Mincho" w:hAnsi="Arial"/>
    </w:rPr>
  </w:style>
  <w:style w:styleId="style23" w:type="paragraph">
    <w:name w:val="Основной текст"/>
    <w:basedOn w:val="style0"/>
    <w:next w:val="style23"/>
    <w:pPr>
      <w:jc w:val="both"/>
    </w:pPr>
    <w:rPr>
      <w:sz w:val="28"/>
    </w:rPr>
  </w:style>
  <w:style w:styleId="style24" w:type="paragraph">
    <w:name w:val="Список"/>
    <w:basedOn w:val="style23"/>
    <w:next w:val="style24"/>
    <w:pPr/>
    <w:rPr>
      <w:rFonts w:ascii="Arial" w:cs="Tahoma" w:hAnsi="Arial"/>
    </w:rPr>
  </w:style>
  <w:style w:styleId="style25" w:type="paragraph">
    <w:name w:val="Название"/>
    <w:basedOn w:val="style0"/>
    <w:next w:val="style25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6" w:type="paragraph">
    <w:name w:val="Указатель"/>
    <w:basedOn w:val="style0"/>
    <w:next w:val="style26"/>
    <w:pPr>
      <w:suppressLineNumbers/>
    </w:pPr>
    <w:rPr>
      <w:rFonts w:ascii="Arial" w:cs="Tahoma" w:hAnsi="Arial"/>
    </w:rPr>
  </w:style>
  <w:style w:styleId="style27" w:type="paragraph">
    <w:name w:val="Основной текст с отступом"/>
    <w:basedOn w:val="style0"/>
    <w:next w:val="style27"/>
    <w:pPr>
      <w:jc w:val="both"/>
      <w:ind w:firstLine="708" w:left="283" w:right="0"/>
    </w:pPr>
    <w:rPr>
      <w:sz w:val="28"/>
    </w:rPr>
  </w:style>
  <w:style w:styleId="style28" w:type="paragraph">
    <w:name w:val="Нижний колонтитул"/>
    <w:basedOn w:val="style0"/>
    <w:next w:val="style28"/>
    <w:pPr>
      <w:tabs>
        <w:tab w:leader="none" w:pos="4677" w:val="center"/>
        <w:tab w:leader="none" w:pos="9355" w:val="right"/>
      </w:tabs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2017-09-20T05:09:00.00Z</dcterms:created>
  <dc:creator>Vodhoz</dc:creator>
  <cp:lastModifiedBy>Vodhoz</cp:lastModifiedBy>
  <dcterms:modified xsi:type="dcterms:W3CDTF">2017-09-26T09:25:00.00Z</dcterms:modified>
  <cp:revision>12</cp:revision>
</cp:coreProperties>
</file>